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B2B9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1. В целях всестороннего и надлежащего рассмотрения обращений рекомендуется в нем указывать следующие данные:</w:t>
      </w:r>
    </w:p>
    <w:p w14:paraId="699223CB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• номер договора, заключенного между получателем финансовой услуги и микрофинансовой организацией;</w:t>
      </w:r>
    </w:p>
    <w:p w14:paraId="2674129E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•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4DFAF224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• наименование органа, должности, фамилии, имени и отчества (при наличии) работника микрофинансовой организации, действия (бездействие) которого обжалуются;</w:t>
      </w:r>
    </w:p>
    <w:p w14:paraId="2F283881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• иные сведения, которые получатель финансовой услуги считает необходимым сообщить;</w:t>
      </w:r>
    </w:p>
    <w:p w14:paraId="350C7625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• копии документов, подтверждающих изложенные в обращении обстоятельства, в этом случае в обращении приводится перечень прилагаемых к нему документов;</w:t>
      </w:r>
    </w:p>
    <w:p w14:paraId="3A1D35A5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•  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14:paraId="0D9FCA5E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•  подпись уполномоченного представителя (в отношении юридических лиц);</w:t>
      </w:r>
    </w:p>
    <w:p w14:paraId="4623404E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</w:p>
    <w:p w14:paraId="5166C71A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2. В обращении не должны содержаться нецензурные либо оскорбительные выражения, угрозы имуществу микрофинансовой организации, имуществу, жизни и (или) здоровью работников микрофинансовой организации, а также членов их семей.</w:t>
      </w:r>
    </w:p>
    <w:p w14:paraId="6EF11752" w14:textId="77777777" w:rsidR="009F7C05" w:rsidRPr="009F7C05" w:rsidRDefault="009F7C05" w:rsidP="009F7C05">
      <w:pPr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3. Текст письменного обращения должен быть читаем.</w:t>
      </w:r>
    </w:p>
    <w:p w14:paraId="6F23E694" w14:textId="32188DB1" w:rsidR="00B10123" w:rsidRPr="009F7C05" w:rsidRDefault="009F7C05" w:rsidP="009F7C05">
      <w:pPr>
        <w:rPr>
          <w:sz w:val="28"/>
          <w:szCs w:val="28"/>
        </w:rPr>
      </w:pPr>
      <w:r w:rsidRPr="009F7C05">
        <w:rPr>
          <w:rFonts w:ascii="Tahoma" w:eastAsia="Times New Roman" w:hAnsi="Tahoma" w:cs="Tahoma"/>
          <w:color w:val="222222"/>
          <w:kern w:val="36"/>
          <w:sz w:val="28"/>
          <w:szCs w:val="28"/>
          <w:lang w:eastAsia="ru-RU"/>
        </w:rPr>
        <w:t>4.  В обращении не должны содержаться вопросы, на которые получателю финансовой услуги ранее предоставлялся письменный ответ по существу.</w:t>
      </w:r>
    </w:p>
    <w:sectPr w:rsidR="00B10123" w:rsidRPr="009F7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D"/>
    <w:rsid w:val="00177A3D"/>
    <w:rsid w:val="009F7C05"/>
    <w:rsid w:val="00B1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BD35"/>
  <w15:chartTrackingRefBased/>
  <w15:docId w15:val="{677CFE08-C8EC-4E5C-A13E-AA91F59C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471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40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9304">
                                  <w:marLeft w:val="68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4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60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2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 Фазилов</dc:creator>
  <cp:keywords/>
  <dc:description/>
  <cp:lastModifiedBy>Бахтияр Фазилов</cp:lastModifiedBy>
  <cp:revision>2</cp:revision>
  <dcterms:created xsi:type="dcterms:W3CDTF">2021-09-30T12:52:00Z</dcterms:created>
  <dcterms:modified xsi:type="dcterms:W3CDTF">2021-09-30T12:52:00Z</dcterms:modified>
</cp:coreProperties>
</file>